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8"/>
          <w:lang w:eastAsia="ru-RU"/>
        </w:rPr>
        <w:t>Пожарная безопасность в отопительный период!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ab/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Ежегодно в осенне-зимний период с наступлением холодов увеличивается количество происшествий, связанных с гибелью и травматизмом людей в результате бытовых пожаров. Стремясь поддержать тепло в своих домах, люди используют отопительные печи, электронагревательные приборы, газовые плиты и духовки, которые при определённых условиях могут стать причиной возгорания.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Одной из основных причин возникновения пожаров является нарушение правил пожарной безопасности при эксплуатации электрооборудования и бытовых электронагревательных приборов. Не оставляйте включенными на ночь электрообогреватели и не используйте их для сушки вещей. 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 Включенные электронагревательные приборы должны быть установлены на негорючие теплоизоляционные подставки. Также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приборов. Перед уходом из дома на длительное время, убедитесь, что все электронагревательные и осветительные приборы отключены.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Также распространенной причиной возникновения пожаров в отопительный сезон в жилых домах является нарушение правил пожарной безопасности при эксплуатации печей. Происходит это в результате перекала печи, появления в кирпичной кладке трещин,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печей следует соблюдать простые требования: печи и другие отопительные приборы должны иметь противопожарные разделки (отступки) от горючих конструкций здания (строения), а на деревянном полу или полу из других горючих материалов должен быть предтопочный лист размером не менее 70x50 см.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Наиболее часто пожары происходят, когда печи оставляют во время топки без наблюдения. В сильные морозы их нередко топят продолжительное время, в результате чего происходит перекал отдельных частей печи. Следите за расстоянием от топочного отверстия печи до мебели, постелей и других сгораемых приборов. Это расстояние должно быть не менее 1,25 м. Не храните вблизи печей или непосредственно на их поверхности сгораемые материалы, не сушите бельё.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  <w:t>УВАЖАЕМЫЕ ГРАЖДАНЕ!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  <w:t>СОБЛЮДАЙТЕ ПРАВИЛА ПОЖАРНОЙ БЕЗОПАСНОСТИ!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«101» или в экстренную службу по телефону – «112».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Cs/>
          <w:sz w:val="24"/>
          <w:szCs w:val="28"/>
          <w:lang w:eastAsia="ru-RU"/>
        </w:rPr>
        <w:t>Пожар легче предупредить, чем потушить!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333333"/>
          <w:sz w:val="24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4"/>
          <w:szCs w:val="28"/>
          <w:lang w:eastAsia="ru-RU"/>
        </w:rPr>
        <w:t>телефон пожарной охраны «101»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auto"/>
          <w:kern w:val="0"/>
          <w:sz w:val="18"/>
          <w:szCs w:val="18"/>
          <w:lang w:val="ru-RU" w:eastAsia="ru-RU" w:bidi="ar-SA"/>
        </w:rPr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663f5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663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63f5"/>
    <w:pPr>
      <w:spacing w:after="0" w:line="240" w:lineRule="auto"/>
    </w:pPr>
    <w:rPr>
      <w:sz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52CBC872FB4A2ABC917F7BC68C1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74EAF-E9C6-412A-B995-C5245B8D1C62}"/>
      </w:docPartPr>
      <w:docPartBody>
        <w:p w:rsidR="00F23F78" w:rsidRDefault="00F53CD6" w:rsidP="00F53CD6">
          <w:pPr>
            <w:pStyle w:val="DC52CBC872FB4A2ABC917F7BC68C17C6"/>
          </w:pPr>
          <w:r w:rsidRPr="00440A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7EFC45D192433FB21B08C6A20E2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D33A0-DFFE-45DF-A8AF-9EBAE3A6F65E}"/>
      </w:docPartPr>
      <w:docPartBody>
        <w:p w:rsidR="00F23F78" w:rsidRDefault="00F53CD6" w:rsidP="00F53CD6">
          <w:pPr>
            <w:pStyle w:val="9D7EFC45D192433FB21B08C6A20E2EE4"/>
          </w:pPr>
          <w:r w:rsidRPr="00440A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D6"/>
    <w:rsid w:val="006E3098"/>
    <w:rsid w:val="007A7516"/>
    <w:rsid w:val="00F23F78"/>
    <w:rsid w:val="00F5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CD6"/>
    <w:rPr>
      <w:color w:val="808080"/>
    </w:rPr>
  </w:style>
  <w:style w:type="paragraph" w:customStyle="1" w:styleId="DC52CBC872FB4A2ABC917F7BC68C17C6">
    <w:name w:val="DC52CBC872FB4A2ABC917F7BC68C17C6"/>
    <w:rsid w:val="00F53CD6"/>
  </w:style>
  <w:style w:type="paragraph" w:customStyle="1" w:styleId="9D7EFC45D192433FB21B08C6A20E2EE4">
    <w:name w:val="9D7EFC45D192433FB21B08C6A20E2EE4"/>
    <w:rsid w:val="00F5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1</Pages>
  <Words>368</Words>
  <Characters>2585</Characters>
  <CharactersWithSpaces>2950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2023-10-23T09:20:00Z</dcterms:created>
  <dc:creator>Глазунов С.В.</dc:creator>
  <dc:description/>
  <dc:language>ru-RU</dc:language>
  <cp:lastModifiedBy/>
  <dcterms:modified xsi:type="dcterms:W3CDTF">2023-10-26T10:17:22Z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